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РОСТОВСКАЯ ОБЛАСТЬ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МИЛЛЕРОВСКИЙ РАЙОН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ТРЕНЕВСКОГО СЕЛЬСКОГО ПОСЕЛЕНИЯ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бюджете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Миллеровского района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2011 год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90"/>
      </w:tblGrid>
      <w:tr w:rsidR="009575D3" w:rsidRPr="009575D3" w:rsidTr="009575D3">
        <w:trPr>
          <w:tblCellSpacing w:w="0" w:type="dxa"/>
        </w:trPr>
        <w:tc>
          <w:tcPr>
            <w:tcW w:w="478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 « 17 » декабря 2010 года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64233559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Основные характеристики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Миллеровского района на 2011 год </w:t>
      </w:r>
      <w:bookmarkEnd w:id="0"/>
    </w:p>
    <w:p w:rsidR="009575D3" w:rsidRPr="009575D3" w:rsidRDefault="009575D3" w:rsidP="009575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1.1. Утвердить основные характеристики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сельского поселения Миллеровского района на 2011 год, с учетом уровня инфляции, не </w:t>
      </w:r>
      <w:r w:rsidRPr="009575D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превышающего 7,9 процента (декабрь 2011 года к декабрю 2010 года):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1) прогнозируемый общий объем доходов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в сумме    </w:t>
      </w: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7116,2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2) общий объем расходов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в сумме  </w:t>
      </w: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7116,2 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предельный объем муниципального долга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 в сумме </w:t>
      </w: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1910,0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    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верхний предел муниципального долга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1 января 2012 года в сумме 0,0 тыс. рублей, в том числе по муниципальным гарантиям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в сумме 0,0 тыс. рублей;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прогнозируемый дефицит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в сумме   </w:t>
      </w: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0,0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предельный объем расходов на обслуживание муниципального долга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сумме </w:t>
      </w: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0,0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1.2. Учесть в  бюджете </w:t>
      </w:r>
      <w:proofErr w:type="spellStart"/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 Миллеровского района объем поступлений доходов  на 2011 год  согласно приложению 1 к настоящему решению Собрания депутатов;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1.3. Утвердить источники финансирования дефицита бюджета </w:t>
      </w:r>
      <w:proofErr w:type="spellStart"/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сельского поселения</w:t>
      </w:r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Миллеровского района на 2011 год  согласно приложению 2 к настоящему решению Собрания депутатов;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зачисления доходов в бюджет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Миллеровского района на 2011 год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 Бюджетным кодексом Российской Федерации, Федеральным законом «О федеральном бюджете на 2011 год и на плановый период 2012 и 2013 годов», Областным законом «О межбюджетных отношениях органов государственной власти и органов местного самоуправления в Ростовской области»,  Областным законом «Об областном бюджете на 2011 год» и иными нормативными правовыми актами утвердить нормативы зачисления доходов  в бюджет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2011 год согласно приложению 3  к настоящему решению Собрания депутатов.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Главные администраторы доходов 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Миллеровского района и главные администраторы источников финансирования дефицита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Миллеровского района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Утвердить перечень главных администраторов доходов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– органов местного самоуправления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4  к настоящему решению Собрания депутатов.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Утвердить перечень главных администраторов доходов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– органов государственной власти Российской Федерации, органов государственной власти Ростовской области согласно приложению 5  к настоящему решению Собрания депутатов.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Утвердить перечень главных </w:t>
      </w:r>
      <w:proofErr w:type="gram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согласно приложению 6 к настоящему решению Собрания депутатов.</w:t>
      </w: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 Бюджетные ассигнования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Миллеровского района на   2010 год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>4.1. Утвердить: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36"/>
          <w:szCs w:val="36"/>
          <w:lang w:eastAsia="ru-RU"/>
        </w:rPr>
        <w:t>1) распределение бюджетных ассигнований на 2011 год по разделам и подразделам, целевым статьям и видам  расходов классификации расходов бюджета согласно приложению 7 к настоящему решению Собрания депутатов;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ведомственную структуру расходов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 согласно приложению 8 к настоящему решению Собрания депутатов;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 Межбюджетные трансферты из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в бюджет Миллеровского района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объемы иных межбюджетных трансфертов, предоставляемые из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 поселения Миллеровского района в бюджет Миллеровского района и направляемых на финансирование расходов, связанных с передачей </w:t>
      </w:r>
      <w:proofErr w:type="gram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части полномочий органов местного самоуправления</w:t>
      </w:r>
      <w:proofErr w:type="gram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органам местного самоуправления Миллеровского района</w:t>
      </w:r>
      <w:r w:rsidRPr="009575D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2011 год согласно приложению 9 к настоящему решению Собрания депутатов;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Межбюджетные трансферты из бюджета Миллеровского района бюджету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 расходы за счет иных межбюджетных трансфертов, передаваемых бюджету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компенсацию возможных потерь доходной части бюджета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от предоставления льготы по уплате земельного налога муниципальными бюджетными учреждениями согласно налоговому законодательству Российской Федерации на 2011 год в сумме  41,5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7. Межбюджетные трансферты из областного бюджета бюджету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Миллеровского района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размер и расходование иных межбюджетных трансфертов, предоставляемых бюджету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из областного бюджета за счет субвенций бюджетам поселений на осуществление государственных полномочий по первичному воинскому учету на территориях, где отсутствуют военные комиссариаты на 2011 год в сумме  136,1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Особенности исполнения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Миллеровского района в 2011 году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Предоставить право администрации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формировании расходов на создание условий для организации досуга и обеспечение жителей поселения услугами организаций культуры производить уменьшение расходов на величину сверхнормативных остатков материальных запасов.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Вступление в силу настоящего Решения Собрания депутатов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Собрания депутатов вступает в силу с 1 января 2011 года.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Глава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Треневского</w:t>
      </w:r>
      <w:proofErr w:type="spellEnd"/>
    </w:p>
    <w:p w:rsidR="009575D3" w:rsidRPr="009575D3" w:rsidRDefault="009575D3" w:rsidP="009575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сельского поселения            ____________                          В.И. Петренко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</w:t>
      </w:r>
      <w:r w:rsidRPr="009575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Долотинка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 декабря 2010 года                                                               </w:t>
      </w:r>
      <w:r w:rsidRPr="009575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115 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9575D3" w:rsidRPr="009575D3" w:rsidTr="009575D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Приложение 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к  решению Собрания депутатов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Миллеровского района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год"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440" w:type="dxa"/>
            <w:gridSpan w:val="3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 поступлений  доходов   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Миллеровского района на 2011 год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440" w:type="dxa"/>
            <w:gridSpan w:val="3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БК РФ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статьи доходов </w:t>
            </w:r>
          </w:p>
        </w:tc>
        <w:tc>
          <w:tcPr>
            <w:tcW w:w="108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9575D3" w:rsidRPr="009575D3" w:rsidTr="009575D3">
        <w:trPr>
          <w:tblHeader/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5:C82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  <w:bookmarkEnd w:id="1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3819,9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1 01 02021 01 0000 110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75,3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1 05 01000 00 0000 110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1 05 01010 01 0000 110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59,8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1 05 01011 01 0000 110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59,8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1 05 01020 01 0000 110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величину расходов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1 05 01021 01 0000 110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1020,5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1 06 04000 02 0000 110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184,5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1 06 04011 02 0000 110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организаций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1 06 04012 02 0000 110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физических лиц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825,4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1 06 06010 00 0000 110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789,7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1 06 06013 10 0000 110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789,7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1 06 06020 00 0000 110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 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1 06 06023 10 0000 110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1 11 05010 00 0000 120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договоров аренды  указанных земельных участков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413,1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1 11 05010 10 0000 120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1 14 00000 00 0000 000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МАТАРИАЛЬНЫХ И НЕМАТЕРИАЛЬНЫХ АКТИВОВ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1 14 06000 00 0000 430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1 14 06020 00 0000 430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1 14 06026 10 0000 430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 автономных учреждений)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3296,3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3296,3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2 02 01000 00 0000 151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2 02 01001 00 0000 151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  бюджетной обеспеченности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2 02 01001 10 0000 151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  бюджетной обеспеченности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2 02 03000 00 0000 151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 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2 02 03015 00 0000 151 </w:t>
            </w:r>
          </w:p>
        </w:tc>
        <w:tc>
          <w:tcPr>
            <w:tcW w:w="631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2 02 03015 10 0000 151 </w:t>
            </w:r>
          </w:p>
        </w:tc>
        <w:tc>
          <w:tcPr>
            <w:tcW w:w="631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2 02 04000 00 0000 151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854,6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2 02 04999 00 0000 151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854,6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2 02 04999 10 0000 151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854,6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3045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1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08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7116,2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60"/>
        <w:gridCol w:w="1260"/>
      </w:tblGrid>
      <w:tr w:rsidR="009575D3" w:rsidRPr="009575D3" w:rsidTr="009575D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C25"/>
            <w:bookmarkEnd w:id="2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3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3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3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  <w:gridCol w:w="1260"/>
      </w:tblGrid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0:C21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3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01 05 00 00 00 0000 000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01 05 00 00 00 0000 500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01 05 02 00 00 0000 500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01 05 02 01 00 0000 510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01 05 02 01 10 0000 510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01 05 00 00 00 0000 600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01 05 02 00 00 0000 600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01 05 02 01 00 0000 610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01 05 02 01 10 0000 610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28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15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источников внутреннего финансирования дефицита бюджета поселения </w:t>
            </w:r>
          </w:p>
        </w:tc>
        <w:tc>
          <w:tcPr>
            <w:tcW w:w="12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9575D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Приложение 3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№ 115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Миллеровского района на 2011 год»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Нормативы зачисления доходов в бюджет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Миллеровского района на 2011 год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3"/>
        <w:gridCol w:w="1327"/>
      </w:tblGrid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Нормативы зачисления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991"/>
      </w:tblGrid>
      <w:tr w:rsidR="009575D3" w:rsidRPr="009575D3" w:rsidTr="009575D3">
        <w:trPr>
          <w:tblHeader/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 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ГОСУДАРСТВЕННАЯ ПОШЛИНА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ЗАДОЛЖЕННОСТЬ И ПЕРЕСЧЕТЫ ПО ОТМЕНЕННЫМ НАЛОГАМ, СБОРАМ И ИНЫМ ОБЯЗАТЕЛЬНЫМ ПЛАТЕЖАМ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размещения временно свободных средств бюджетов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полученные от предоставления бюджетных кредитов внутри страны за счет средств бюджетов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 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  органов управления поселений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залог, в доверительное управление  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распоряжения  правами на результаты интеллектуальной деятельности военного, специального и двойного назначения, находящимися в  собственности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распоряжения  правами на результаты научно-технической деятельности, находящимися в  собственности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эксплуатации и использования  имущества, автомобильных дорог, находящихся в собственности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получателями средств бюджетов поселений  и компенсации затрат государства бюджетов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  поселений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 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 по указанному имуществу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  оперативном управлении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учреждений, находящихся в ведении органов управления поселений (за исключением муниципальных  автономных учреждений), в части реализации материальных запасов по указанному имуществу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  в части реализации основных средств по указанному имуществу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  в части реализации материальных запасов по указанному имуществу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  основных средств по указанному имуществу)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  материальных запасов по указанному имуществу)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ПЛАТЕЖИ И СБОРЫ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организациями поселений за выполнение определенных функций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 (штрафы) за нарушение бюджетного законодательства (в части бюджетов поселений)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сумм, израсходованных незаконно или не по целевому назначению, а также доходов, полученных от их использования (в части бюджетов поселений) 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 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по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возникшим до 1 января 2008 года)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Погашение задолженности по пеням и штрафам за несвоевременную уплату налогов и сборов в части отмененных налогов и сборов осуществляются по нормативам зачисления соответствующих налогов и сборов в бюджет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района.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                             Приложение 4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  решению Собрания депутатов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№ 115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Миллеровского района на 2011 год»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Перечень главных администраторов доходов 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Миллеровского района – органов местного самоуправления  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126"/>
        <w:gridCol w:w="4713"/>
      </w:tblGrid>
      <w:tr w:rsidR="009575D3" w:rsidRPr="009575D3" w:rsidTr="009575D3">
        <w:trPr>
          <w:tblCellSpacing w:w="0" w:type="dxa"/>
        </w:trPr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5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Наименование главного администратора доходов  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сельского поселения Миллеровского района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главногоадми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нист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ратора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доходов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доходов  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сельского поселения Миллеровского 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9575D3" w:rsidRPr="009575D3" w:rsidTr="009575D3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40"/>
        <w:gridCol w:w="5640"/>
      </w:tblGrid>
      <w:tr w:rsidR="009575D3" w:rsidRPr="009575D3" w:rsidTr="009575D3">
        <w:trPr>
          <w:tblHeader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2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Администрация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сельского поселения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1 08 04020 01 1000 110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1 08 04020 01 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000 110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1 11 01050 10 0000 120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1 11 02033 10 0000 120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размещения временно свободных средств бюджетов 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1 11 02085 10 0000 120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1 11 03050 10 0000 120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Проценты, полученные от предоставления бюджетных кредитов внутри страны за счет средств бюджетов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1 11 05025 10 0000 120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1 11 05035 10 0000 120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1 11 07015 10 0000 120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перечисления части прибыли, остающейся после уплаты  налогов и иных обязательных платежей муниципальных унитарных предприятий, созданных 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поселениями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951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1 11 080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10 0000 120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1 11 09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25 10 0000 120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распоряжения правами на результаты научно-технической деятельности, находящимися в собственности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1 11 0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9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035 10 0000 120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имущества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автомобильных дорог, находящихся в собственности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1 11 0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9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045 10 0000 120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  учреждений, а также имущества муниципальных унитарных предприятий,  в том числе казенных)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1 13 03050 10 0000 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130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Прочие доходы от оказания 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платных услуг получателями средств бюджетов поселений и компенсации затрат  бюджетов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1 14 01050 10 0000 410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продажи квартир, находящихся в собственности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1 14 02032 10 0000 410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реализации имущества, находящегося в 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1 14 02032 10 0000 440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реализации имущества, находящегося в  оперативном управлении учреждений, находящихся в ведении органов управления поселений (за исключением имущества муниципальных бюджетных и  автономных учреждений), в части реализации материальных запасов по указанному имуществу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1 14 02033 10 0000 410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имущества муниципальных 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1 14 02033 10 0000 440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  автономных учреждений, а также имущества муниципальных  унитарных предприятий, в том числе казенных),  в части реализации материальных запасов по  указанному имуществу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1 14 03050 10 0000 410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1 14 03050 10 0000 440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1 14 04050 10 0000 420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lastRenderedPageBreak/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1 14 0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6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26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10 0000 4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3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автономных учреждений)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1 15 02050 10 0000 140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Платежи, взимаемые организациями поселений за выполнение определенных функций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1 16 18050 10 0000 140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Денежные взыскания (штрафы) за нарушение бюджетного законодательства (в части бюджетов поселений)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1 16 23050 10 0000 140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1 16 32000 10 0000 140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1 16 90050 10 0000 140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1 17 01050 10 0000 180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Невыясненные поступления, зачисляемые в бюджеты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1 17 02000 10 0000 180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1 17 05050 10 0000 180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неналоговые доходы бюджетов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2 02 01001 10 0000 151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2 02 01003 10 0000 151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2 02 01999 10 0000 151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дотации бюджетам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2 02 02041 10 0000 151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2 02 02999 10 0000 151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субсидии бюджетам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2 02 03015 10 0000 151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Субвенции бюджетам поселений на осуществление первичного 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воинского учета на территориях, где отсутствуют военные комиссариаты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2 02 03024 10 0000 151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2 02 03999 10 0000 151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субвенции бюджетам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2 02 04012 10 0000 151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Межбюджетные трансферты, передаваемые бюджетам поселений для компенсации дополнительных расходов,  возникших в результате решений, принятых органами власти другого уровня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2 02 0401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10 0000 151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Межбюджетные трансферты,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2 02 0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4999</w:t>
            </w: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2 02 09024 10 0000 151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безвозмездные поступления в бюджеты поселений от бюджетов субъектов Российской Федерации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2 02 09054 10 0000 151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безвозмездные поступления в бюджеты 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поселений от бюджетов муниципальных районов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2 07 05000 10 0000 180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безвозмездные поступления в бюджеты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2 08 05000 10 0000 180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2 09 05010 10 0000 180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небюджетными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организациями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2 09 05020 10 0000 151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  из бюджетов государственных внебюджетных фондов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2 09 05030 10 0000 151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муниципальных районов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951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2 10 05000 10 0000 151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№ 115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бюджете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Миллеровского района на 2011 год»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главных администраторов доходов бюджета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  –  органов государственной власти  Российской Федерации, органов государственной власти Ростовской области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3119"/>
        <w:gridCol w:w="6142"/>
      </w:tblGrid>
      <w:tr w:rsidR="009575D3" w:rsidRPr="009575D3" w:rsidTr="009575D3">
        <w:trPr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6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Наименование главного администратора доходов  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сельского поселения Миллеровского района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ратора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Миллеровского района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9575D3" w:rsidRPr="009575D3" w:rsidTr="009575D3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50"/>
        <w:gridCol w:w="6210"/>
      </w:tblGrid>
      <w:tr w:rsidR="009575D3" w:rsidRPr="009575D3" w:rsidTr="009575D3">
        <w:trPr>
          <w:tblHeader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Межрайонная инспекция Федеральной налоговой службы № 3 по Ростовской области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1 01 02011 01 0000 110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физическими лицами, не являющимися налоговыми резидентами Российской Федерации в виде дивидендов от долевого участия в деятельности организаций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1 01 02021 01 0000 110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1 01 02022 01 0000 110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лицами, не являющимися налоговыми резидентами Российской Федерации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1 01 02040 01 0000 110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1 01 02050 01 0000 110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в виде процентов по облигациям с ипотечным покрытием, эмитированным до 1 января 2007 года, а также с доходов учредителей доверительного управления ипотечным покрытием, полученных на основании приобретения ипотечных сертификатов участия, выданных управляющим ипотечным покрытием до 1 января 2007 года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1 01 02060 01 0000 110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лицами, не являющимися налоговыми резидентами Российской Федерации, в отношении которых применяются налоговые ставки, установленные в Соглашениях об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избежании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двойного налогообложения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1 05 01011 01 0000 110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1 05 01012 01 0000 110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1 05 01021 01 0000 110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1 05 01022 01 0000 110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1 05 03020 01 0000 110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поселений 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1 06 04011 02 0000 110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организаций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1 06 04012 02 0000 110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физических лиц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06 06013 10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 06 06023 10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1 09 04050 10 0000 110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815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Министерство имущественных и земельных отношений, финансового оздоровления предприятий, организаций Ростовской области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815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05010 10 0000 120*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914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Комитет по управлению имуществом Миллеровского района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914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1 14 06014 10 0000 430 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имущественных и земельных отношений, финансового оздоровления предприятий, организаций Ростовской области является главным администратором: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доходов от передачи в аренду земельных участков, государственная собственность на которые не разграничена, а также средств от продажи права на заключение договоров </w:t>
      </w: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аренды указанных земельных участков в консолидированный бюджет Миллеровского района;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 решению Собрания депутатов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9575D3" w:rsidRPr="009575D3" w:rsidRDefault="009575D3" w:rsidP="009575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Миллеровского района на 2011 год»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главных </w:t>
      </w:r>
      <w:proofErr w:type="gram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администраторов   источников финансирования дефицита  бюджета</w:t>
      </w:r>
      <w:proofErr w:type="gram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Треневского</w:t>
      </w:r>
      <w:proofErr w:type="spellEnd"/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9575D3" w:rsidRPr="009575D3" w:rsidRDefault="009575D3" w:rsidP="0095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Миллеровского района 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6120"/>
      </w:tblGrid>
      <w:tr w:rsidR="009575D3" w:rsidRPr="009575D3" w:rsidTr="009575D3">
        <w:trPr>
          <w:tblCellSpacing w:w="0" w:type="dxa"/>
        </w:trPr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6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Наименование главного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сельского поселения Миллеровского района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ратора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финансирования дефицита 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Миллеровского района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9575D3" w:rsidRPr="009575D3" w:rsidTr="009575D3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3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           Администрация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                           сельского поселения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01 03 00 00 10 0000 710 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01 03 00 00 10 0000 810 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</w:t>
            </w: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Федерации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01 05 02 01 10 0000 510 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01 05 02 01 10 0000 610 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525"/>
        <w:gridCol w:w="600"/>
        <w:gridCol w:w="1200"/>
        <w:gridCol w:w="630"/>
        <w:gridCol w:w="1065"/>
      </w:tblGrid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F136"/>
            <w:bookmarkEnd w:id="4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6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                                                                                                                             Тренёвского сельского поселения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17.12.2010 г. № 115 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6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6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6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2011 год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6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 разделам и подразделам, целевым статьям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6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видам расходов классификации расходов бюджета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260" w:type="dxa"/>
            <w:gridSpan w:val="6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gridSpan w:val="3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5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3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65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3320,5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2730,8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«Об административных правонарушениях»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и стихийных бедствий, гражданская оборона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822,9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  хозяйство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3510500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3510500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739,5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739,5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  мест захоронения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1814,4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62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2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7116,2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10"/>
        <w:gridCol w:w="570"/>
        <w:gridCol w:w="600"/>
        <w:gridCol w:w="1200"/>
        <w:gridCol w:w="660"/>
        <w:gridCol w:w="1020"/>
      </w:tblGrid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H134"/>
            <w:bookmarkEnd w:id="5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8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0" w:type="dxa"/>
            <w:gridSpan w:val="7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0" w:type="dxa"/>
            <w:gridSpan w:val="7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"О бюджете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на 2011 год"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0" w:type="dxa"/>
            <w:gridSpan w:val="7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0" w:type="dxa"/>
            <w:gridSpan w:val="7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0" w:type="dxa"/>
            <w:gridSpan w:val="7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0" w:type="dxa"/>
            <w:gridSpan w:val="7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10800" w:type="dxa"/>
            <w:gridSpan w:val="7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1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57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60" w:type="dxa"/>
            <w:noWrap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81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3320,5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2730,8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«Об административных правонарушениях»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и стихийных бедствий, гражданская оборона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822,9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3510500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3510500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739,5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739,5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03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6000400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997 </w:t>
            </w:r>
          </w:p>
        </w:tc>
        <w:tc>
          <w:tcPr>
            <w:tcW w:w="10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125,0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И КИНЕМАТОГРАФИЯ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1814,4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Периодическая печать и издательства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noWrap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9575D3" w:rsidRPr="009575D3" w:rsidTr="009575D3">
        <w:trPr>
          <w:tblCellSpacing w:w="0" w:type="dxa"/>
        </w:trPr>
        <w:tc>
          <w:tcPr>
            <w:tcW w:w="594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1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7116,2 </w:t>
            </w:r>
          </w:p>
        </w:tc>
      </w:tr>
    </w:tbl>
    <w:p w:rsidR="009575D3" w:rsidRPr="009575D3" w:rsidRDefault="009575D3" w:rsidP="0095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543"/>
        <w:gridCol w:w="1877"/>
        <w:gridCol w:w="248"/>
        <w:gridCol w:w="2271"/>
        <w:gridCol w:w="1947"/>
        <w:gridCol w:w="1267"/>
        <w:gridCol w:w="60"/>
        <w:gridCol w:w="6"/>
      </w:tblGrid>
      <w:tr w:rsidR="009575D3" w:rsidRPr="009575D3" w:rsidTr="009575D3">
        <w:trPr>
          <w:trHeight w:val="390"/>
          <w:tblCellSpacing w:w="0" w:type="dxa"/>
        </w:trPr>
        <w:tc>
          <w:tcPr>
            <w:tcW w:w="76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0" w:type="dxa"/>
            <w:gridSpan w:val="4"/>
            <w:vMerge w:val="restart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 9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 бюджете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  поселения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год»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255"/>
          <w:tblCellSpacing w:w="0" w:type="dxa"/>
        </w:trPr>
        <w:tc>
          <w:tcPr>
            <w:tcW w:w="76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255"/>
          <w:tblCellSpacing w:w="0" w:type="dxa"/>
        </w:trPr>
        <w:tc>
          <w:tcPr>
            <w:tcW w:w="76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1320"/>
          <w:tblCellSpacing w:w="0" w:type="dxa"/>
        </w:trPr>
        <w:tc>
          <w:tcPr>
            <w:tcW w:w="9945" w:type="dxa"/>
            <w:gridSpan w:val="8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трансферты, предоставляемые из бюджета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 поселения Миллеровского района в бюджет Миллеровского района и направляемых на финансирование расходов, связанных с передачей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осуществления части полномочий органов местного самоуправления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органам местного самоуправления Миллеровского района на 2011 год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285"/>
          <w:tblCellSpacing w:w="0" w:type="dxa"/>
        </w:trPr>
        <w:tc>
          <w:tcPr>
            <w:tcW w:w="765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gridSpan w:val="2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270"/>
          <w:tblCellSpacing w:w="0" w:type="dxa"/>
        </w:trPr>
        <w:tc>
          <w:tcPr>
            <w:tcW w:w="765" w:type="dxa"/>
            <w:vMerge w:val="restart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                п./п. </w:t>
            </w:r>
          </w:p>
        </w:tc>
        <w:tc>
          <w:tcPr>
            <w:tcW w:w="7830" w:type="dxa"/>
            <w:gridSpan w:val="5"/>
            <w:vMerge w:val="restart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855"/>
          <w:tblCellSpacing w:w="0" w:type="dxa"/>
        </w:trPr>
        <w:tc>
          <w:tcPr>
            <w:tcW w:w="7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финансирование расходов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подготовке и утверждению документов территориального планирования (генеральный план) поселения;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утверждению местных нормативов градостроительного проектирования поселения;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утверждению правил зем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лепользования и застройки поселения;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утверждению подготовленной на основании документации территориального планирования поселения документации по планировке территории;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выдаче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 согласованию переустройства и перепланировки жилых </w:t>
            </w: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помещений; по установлению и изменению адресов и адресных ориентиров объектам адресации, расположенным на территории поселения; </w:t>
            </w:r>
          </w:p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подготовке, утверждению и выдаче градостроительных планов земельных участков</w:t>
            </w:r>
          </w:p>
        </w:tc>
        <w:tc>
          <w:tcPr>
            <w:tcW w:w="13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957,3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855"/>
          <w:tblCellSpacing w:w="0" w:type="dxa"/>
        </w:trPr>
        <w:tc>
          <w:tcPr>
            <w:tcW w:w="7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83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организацию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характера, в части подготовки и обучения населения в области гражданской обороны и действиям в чрезвычайных ситуациях</w:t>
            </w:r>
          </w:p>
        </w:tc>
        <w:tc>
          <w:tcPr>
            <w:tcW w:w="132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390"/>
          <w:tblCellSpacing w:w="0" w:type="dxa"/>
        </w:trPr>
        <w:tc>
          <w:tcPr>
            <w:tcW w:w="7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создание, содержание и организацию деятельности аварийно-спасательных служб и (или)  аварийно-спасательных формирований на территории поселения в части создания, содержания и организации деятельности аварийно-спасательного формирования </w:t>
            </w:r>
          </w:p>
        </w:tc>
        <w:tc>
          <w:tcPr>
            <w:tcW w:w="13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510"/>
          <w:tblCellSpacing w:w="0" w:type="dxa"/>
        </w:trPr>
        <w:tc>
          <w:tcPr>
            <w:tcW w:w="765" w:type="dxa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 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1346,1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585"/>
          <w:tblCellSpacing w:w="0" w:type="dxa"/>
        </w:trPr>
        <w:tc>
          <w:tcPr>
            <w:tcW w:w="76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организацию  библиотечного обслуживания населения</w:t>
            </w:r>
          </w:p>
        </w:tc>
        <w:tc>
          <w:tcPr>
            <w:tcW w:w="13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225"/>
          <w:tblCellSpacing w:w="0" w:type="dxa"/>
        </w:trPr>
        <w:tc>
          <w:tcPr>
            <w:tcW w:w="76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gramStart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300"/>
          <w:tblCellSpacing w:w="0" w:type="dxa"/>
        </w:trPr>
        <w:tc>
          <w:tcPr>
            <w:tcW w:w="76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0" w:type="dxa"/>
            <w:gridSpan w:val="5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бухгалтерия </w:t>
            </w:r>
          </w:p>
        </w:tc>
        <w:tc>
          <w:tcPr>
            <w:tcW w:w="13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D3" w:rsidRPr="009575D3" w:rsidTr="009575D3">
        <w:trPr>
          <w:trHeight w:val="345"/>
          <w:tblCellSpacing w:w="0" w:type="dxa"/>
        </w:trPr>
        <w:tc>
          <w:tcPr>
            <w:tcW w:w="765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0" w:type="dxa"/>
            <w:gridSpan w:val="5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20" w:type="dxa"/>
            <w:vAlign w:val="bottom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2849,2 </w:t>
            </w:r>
          </w:p>
        </w:tc>
        <w:tc>
          <w:tcPr>
            <w:tcW w:w="30" w:type="dxa"/>
            <w:vAlign w:val="center"/>
            <w:hideMark/>
          </w:tcPr>
          <w:p w:rsidR="009575D3" w:rsidRPr="009575D3" w:rsidRDefault="009575D3" w:rsidP="0095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9575D3" w:rsidRPr="009575D3" w:rsidRDefault="009575D3" w:rsidP="0095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6E0" w:rsidRDefault="00F076E0" w:rsidP="009575D3">
      <w:pPr>
        <w:ind w:left="-567"/>
      </w:pPr>
      <w:bookmarkStart w:id="6" w:name="_GoBack"/>
      <w:bookmarkEnd w:id="6"/>
    </w:p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D3"/>
    <w:rsid w:val="0005049C"/>
    <w:rsid w:val="001F18BB"/>
    <w:rsid w:val="002F6225"/>
    <w:rsid w:val="00444F29"/>
    <w:rsid w:val="006C3D3D"/>
    <w:rsid w:val="007B2776"/>
    <w:rsid w:val="008C13C8"/>
    <w:rsid w:val="009575D3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7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57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link w:val="70"/>
    <w:uiPriority w:val="9"/>
    <w:qFormat/>
    <w:rsid w:val="009575D3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7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5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5D3"/>
    <w:rPr>
      <w:b/>
      <w:bCs/>
    </w:rPr>
  </w:style>
  <w:style w:type="paragraph" w:styleId="a5">
    <w:name w:val="Block Text"/>
    <w:basedOn w:val="a"/>
    <w:uiPriority w:val="99"/>
    <w:semiHidden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5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57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57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7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57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link w:val="70"/>
    <w:uiPriority w:val="9"/>
    <w:qFormat/>
    <w:rsid w:val="009575D3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7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7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5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5D3"/>
    <w:rPr>
      <w:b/>
      <w:bCs/>
    </w:rPr>
  </w:style>
  <w:style w:type="paragraph" w:styleId="a5">
    <w:name w:val="Block Text"/>
    <w:basedOn w:val="a"/>
    <w:uiPriority w:val="99"/>
    <w:semiHidden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5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5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57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57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8639</Words>
  <Characters>49246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2017-07-11T20:24:00Z</dcterms:created>
  <dcterms:modified xsi:type="dcterms:W3CDTF">2017-07-11T20:25:00Z</dcterms:modified>
</cp:coreProperties>
</file>