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5"/>
      </w:tblGrid>
      <w:tr w:rsidR="0059575F" w:rsidRPr="00152828" w:rsidTr="00D25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52828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ПАМЯТКА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НАЛОГУ НА ИМУЩЕСТВО ФИЗИЧЕСКИХ ЛИЦ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КАДАСТРОВОЙ СТОИМОСТИ ОБЪЕКТОВ НАЛОГООБЛОЖЕНИЯ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6"/>
              <w:gridCol w:w="1394"/>
              <w:gridCol w:w="1393"/>
              <w:gridCol w:w="7125"/>
              <w:gridCol w:w="137"/>
            </w:tblGrid>
            <w:tr w:rsidR="0059575F" w:rsidRPr="00152828" w:rsidTr="00D25A57">
              <w:trPr>
                <w:trHeight w:val="81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19200" cy="1047750"/>
                        <wp:effectExtent l="19050" t="0" r="0" b="0"/>
                        <wp:docPr id="1" name="Рисунок 1" descr="Сним86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ним86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НАЛОГОПЛАТЕЛЬЩИКИ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Физические лица – собственники объектов налогообложения.</w:t>
                  </w:r>
                </w:p>
                <w:p w:rsidR="0059575F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7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52600" cy="1628775"/>
                        <wp:effectExtent l="19050" t="0" r="0" b="0"/>
                        <wp:docPr id="2" name="Рисунок 2" descr="http://minfin.donland.ru/_files/Image/nalog/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minfin.donland.ru/_files/Image/nalog/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6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ОБЪЕКТ НАЛОГООБЛОЖЕНИЯ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5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1) жилой дом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2) жилое помещение (квартира, комната),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3) гараж,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машино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-место,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4) единый недвижимый комплекс,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5) объект незавершенного строительства,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6) иные здание, строение, сооружение, помещение.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 жилым 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домам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том числе относятся дома и </w:t>
                  </w:r>
                  <w:hyperlink r:id="rId7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</w:rPr>
                      <w:t>жилые строения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Не признается объектом налогообложения имущество, входящее в состав общего имущества многоквартирного дома.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7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38225" cy="981075"/>
                        <wp:effectExtent l="19050" t="0" r="9525" b="0"/>
                        <wp:docPr id="3" name="Рисунок 3" descr="Снимок5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нимок5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НАЛОГОВАЯ БАЗА И ВЫЧЕТЫ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58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Налоговая база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определяется как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кадастровая стоимость объекта налогообложения.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При этом установлены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налоговые вычеты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отношении: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квартиры – кадастровая стоимость уменьшается на величину кадастровой стоимости 20 м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общей площади этой квартиры;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комнаты – кадастровая стоимость уменьшается на величину кадастровой  стоимости 10 м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площади этой комнаты;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жилого дома – кадастровая стоимость уменьшается на величину кадастровой стоимости 50 м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</w:rPr>
                    <w:t>2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perscript"/>
                    </w:rPr>
                    <w:t xml:space="preserve">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общей площади этого жилого дома;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единого недвижимого комплекса, в состав которого входит хотя бы одно жилое помещение (жилой дом) – кадастровая стоимость уменьшается на один миллион рублей.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случае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если объект налогообложения находится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в общей долевой собственности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случае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если объект налогообложения находится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в общей совместной собственности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налог исчисляется для каждого из участников совместной собственности в равных долях.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Представительные органы муниципальных образований вправе увеличивать размеры налоговых вычетов.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случае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если при применении налоговых вычетов налоговая база принимает отрицательное значение, в целях исчисления налога она принимается равной нулю.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3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81100" cy="1000125"/>
                        <wp:effectExtent l="19050" t="0" r="0" b="0"/>
                        <wp:docPr id="4" name="Рисунок 4" descr="Снимок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нимок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НАЛОГОВЫЕ  СТАВКИ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313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Налоговые ставки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устанавливаются представительными органами поселений и городских округов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Налоговым кодексом Российской Федерации ставки определены: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64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1)  0,1 процента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отношении: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жилых домов, жилых помещений;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объектов незавершенного строительства в случае, если проектируемым назначением таких объектов является жилой дом;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единых недвижимых комплексов, в состав которых входит хотя бы одно жилое помещение (жилой дом);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гаражей и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машино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-мест;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2)  2,0 процента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3)  0,5 процента в отношении прочих объектов налогообложения.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Представительными органами муниципальных образований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налоговые ставки,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 исключением указанных в пунктах 2 и 3,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могут быть уменьшены до нуля или увеличены, но не более чем в три раза. </w:t>
                  </w:r>
                  <w:proofErr w:type="gramEnd"/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32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04900" cy="1123950"/>
                        <wp:effectExtent l="19050" t="0" r="0" b="0"/>
                        <wp:docPr id="5" name="Рисунок 5" descr="Снимо53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нимо53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ЛЬГОТЫ ПО УПЛАТЕ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76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Льготы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освобождающие от уплаты налога, установлены Налоговым </w:t>
                  </w:r>
                  <w:hyperlink r:id="rId11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</w:rPr>
                      <w:t>кодексом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Российской Федерации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в отношении 15 категорий налогоплательщиков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1) Герои Советского Союза и Герои Российской Федерации, а также лица, награжденные орденом Славы трех степеней;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2) инвалиды I и II групп инвалидности;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3) инвалиды с детства;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частей действующей армии;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6) лица, имеющие право на получение социальной поддержки в соответствии с </w:t>
                  </w:r>
                  <w:hyperlink r:id="rId12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</w:rPr>
                      <w:t>Законом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АЭС», в соответствии с Федеральным законом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Теча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» и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9) члены семей военнослужащих, потерявших кормильца, признаваемые таковыми в соответствии с Федеральным законом от 27.05.1998 № 76-ФЗ «О статусе военнослужащих»;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10) пенсионеры, получающие пенсии, назначаемые в порядке, установленном пенсионным законодательством, также лица, достигшие возраста 60 и 55 лет (соответственно мужчины и женщины), которым в соответствии с законодательством 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Российской Федерации выплачивается ежемесячное пожизненное содержание;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13) родители и супруги военнослужащих и государственных служащих, погибших при исполнении служебных обязанностей;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14) физические лица, осуществляющие профессиональную творческую деятельность, –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– на период такого их использования;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15) физические лица –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Представительные органы муниципальных образований вправе устанавливать дополнительные льготы. 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Льготы предоставляются 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отношении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одного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объекта налогообложения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каждого вида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по выбору налогоплательщика вне зависимости от количества оснований для применения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налоговых льгот.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Лицо, имеющее право на налоговую льготу, представляет </w:t>
                  </w:r>
                  <w:hyperlink r:id="rId13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</w:rPr>
                      <w:t>заявление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Уведомление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до 1 ноября года, являющегося налоговым периодом, начиная с которого в отношении указанных объектов применяется налоговая льгота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ind w:left="1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Налоговая льгота предоставляется в отношении объекта налогообложения,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не используемого налогоплательщиком в предпринимательской деятельности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59575F" w:rsidRPr="00152828" w:rsidTr="00D25A57">
              <w:trPr>
                <w:trHeight w:val="750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367" w:type="pct"/>
                  <w:gridSpan w:val="3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85900" cy="1247775"/>
                        <wp:effectExtent l="19050" t="0" r="0" b="0"/>
                        <wp:docPr id="6" name="Рисунок 6" descr="Снимок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нимок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РАСЧЕТ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35"/>
                <w:tblCellSpacing w:w="0" w:type="dxa"/>
                <w:jc w:val="center"/>
              </w:trPr>
              <w:tc>
                <w:tcPr>
                  <w:tcW w:w="30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902" w:type="pct"/>
                  <w:gridSpan w:val="4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случае если налог, исчисленный от кадастровой стоимости больше налога, исчисленного от инвентаризационной стоимости, сумма налога, подлежащая уплате налогоплательщиком, исчисляется с учетом понижающих коэффициентов.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Понижающие коэффициенты применяются в первые четыре налоговых периода.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Полная сумма налога будет уплачиваться только через пять лет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135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Расчет налога проводится по формуле: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13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845"/>
                <w:tblCellSpacing w:w="0" w:type="dxa"/>
                <w:jc w:val="center"/>
              </w:trPr>
              <w:tc>
                <w:tcPr>
                  <w:tcW w:w="5000" w:type="pct"/>
                  <w:gridSpan w:val="6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6381750" cy="1495425"/>
                        <wp:effectExtent l="19050" t="0" r="0" b="0"/>
                        <wp:docPr id="7" name="Рисунок 7" descr="http://minfin.donland.ru/_files/Image/nalog/image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minfin.donland.ru/_files/Image/nalog/image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                                                  </w:t>
                  </w:r>
                </w:p>
              </w:tc>
            </w:tr>
            <w:tr w:rsidR="0059575F" w:rsidRPr="00152828" w:rsidTr="00D25A57">
              <w:trPr>
                <w:trHeight w:val="274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где понижающий коэффициент: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0,2 – применяется в первом году введения налога,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0,4 – во втором году введения налога,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0,6 – в третьем году,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0,8 – в четвертом году.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случае если сумма налога </w:t>
                  </w:r>
                  <w:proofErr w:type="gram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исходя из инвентаризационной стоимости выше суммы налога исходя из кадастровой стоимости, сумма налога, подлежащая уплате, исчисляется</w:t>
                  </w:r>
                  <w:proofErr w:type="gram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исходя из кадастровой стоимости без учета понижающего коэффициента.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Для расчета налога на сайте ФНС России действует «Налоговый калькулятор».</w:t>
                  </w: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9575F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94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6325" cy="1057275"/>
                        <wp:effectExtent l="19050" t="0" r="9525" b="0"/>
                        <wp:docPr id="8" name="Рисунок 8" descr="Сним22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Сним22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ОСНОВАНИЯ УПЛАТЫ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73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Налог уплачивается на основании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налогового уведомления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направляемого налогоплательщику налоговым органом </w:t>
                  </w: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путем размещения в «Личном кабинете налогоплательщика»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случае его неполучения в электронном виде либо несогласия с объектами налогообложения, суммой исчисленных имущественных налогов можно обратиться в налоговую инспекцию по месту жительства или нахождения имущества.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87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95375" cy="1066800"/>
                        <wp:effectExtent l="19050" t="0" r="9525" b="0"/>
                        <wp:docPr id="9" name="Рисунок 9" descr="Снимо3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Снимо3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 УПЛАТЫ НАЛОГА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24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Не позднее 1 декабря</w:t>
                  </w: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года, следующего за истекшим налоговым периодом (например, за 2018 год – срок уплаты не позднее 01.12.2019).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0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43025" cy="895350"/>
                        <wp:effectExtent l="19050" t="0" r="9525" b="0"/>
                        <wp:docPr id="10" name="Рисунок 10" descr="С8нимо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С8нимо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ИНФОРМАЦИЯ О КАДАСТРОВОЙ СТОИМОСТИ ОБЪЕКТОВ НЕДВИЖИМОСТИ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2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Результаты утверждены постановлением Правительства Ростовской области от 27.12.2016 № 881.</w:t>
                  </w: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на сайте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по Ростовской области </w:t>
                  </w:r>
                  <w:hyperlink r:id="rId19" w:history="1">
                    <w:r w:rsidRPr="004F6061">
                      <w:rPr>
                        <w:rFonts w:ascii="Times New Roman" w:eastAsia="Times New Roman" w:hAnsi="Times New Roman" w:cs="Times New Roman"/>
                        <w:color w:val="0000FF"/>
                        <w:sz w:val="26"/>
                        <w:szCs w:val="26"/>
                        <w:u w:val="single"/>
                      </w:rPr>
                      <w:t>«Кадастровая стоимость онлайн»</w:t>
                    </w:r>
                  </w:hyperlink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99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71575" cy="685800"/>
                        <wp:effectExtent l="19050" t="0" r="9525" b="0"/>
                        <wp:docPr id="11" name="Рисунок 11" descr="Сним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Сним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ОСПОРИТЬ КАДАСТРОВУЮ СТОИМОСТЬ ОБЪЕКТОВ НЕДВИЖИМОСТИ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259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Оспаривание результатов кадастровой оценки может быть осуществлено двумя способами: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в комиссии при территориальном органе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;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подача иска в суд.</w:t>
                  </w:r>
                </w:p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Решение комиссии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 может быть оспорено в судебном порядке.</w:t>
                  </w:r>
                </w:p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Комиссии по рассмотрению споров о кадастровой стоимости созданы и функционируют при каждом управлении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Росреестра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152828" w:rsidTr="00D25A57">
              <w:trPr>
                <w:trHeight w:val="1065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9" w:type="pct"/>
                  <w:gridSpan w:val="2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00150" cy="1114425"/>
                        <wp:effectExtent l="19050" t="0" r="0" b="0"/>
                        <wp:docPr id="12" name="Рисунок 12" descr="Снимо77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Снимо77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34" w:type="pct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ОБЪЕКТ НЕДВИЖИМОСТИ ОТСУТСТВУЕТ В ПОСТАНОВЛЕНИИ ПРАВИТЕЛЬСТВА РОСТОВСКОЙ ОБЛАСТИ ОТ 27.12.2016 № 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152828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28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9575F" w:rsidRPr="004F6061" w:rsidTr="00D25A57">
              <w:trPr>
                <w:trHeight w:val="13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863" w:type="pct"/>
                  <w:gridSpan w:val="3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      </w:r>
                  <w:proofErr w:type="spellStart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Росреестр</w:t>
                  </w:r>
                  <w:proofErr w:type="spellEnd"/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целях уточнения характеристик объектов, содержащихся в ЕГРН.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59575F" w:rsidRPr="004F6061" w:rsidTr="00D25A5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575F" w:rsidRPr="004F6061" w:rsidRDefault="0059575F" w:rsidP="00D25A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F606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______________________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«Экономика».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Кроме того, обратившись в МФЦ можно подать документы в </w:t>
            </w:r>
            <w:proofErr w:type="spellStart"/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Росреестр</w:t>
            </w:r>
            <w:proofErr w:type="spellEnd"/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: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государственная регистрация прав на недвижимое имущество и сделок с ним;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предоставление сведений, содержащихся в едином государственном реестре прав;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осуществление государственного кадастрового учета;</w:t>
            </w:r>
          </w:p>
          <w:p w:rsidR="0059575F" w:rsidRPr="004F6061" w:rsidRDefault="0059575F" w:rsidP="00D25A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06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предоставление сведений из государственного кадастра недвижимости.</w:t>
            </w:r>
          </w:p>
          <w:p w:rsidR="0059575F" w:rsidRPr="00152828" w:rsidRDefault="0059575F" w:rsidP="00D25A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8613C" w:rsidRDefault="0068613C"/>
    <w:sectPr w:rsidR="0068613C" w:rsidSect="0068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5F"/>
    <w:rsid w:val="0059575F"/>
    <w:rsid w:val="00604963"/>
    <w:rsid w:val="0068613C"/>
    <w:rsid w:val="006C1AB0"/>
    <w:rsid w:val="00A22409"/>
    <w:rsid w:val="00E23341"/>
    <w:rsid w:val="00E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4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4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4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049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049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049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49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6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96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96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0496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60496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496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49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49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49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496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496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496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496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04963"/>
    <w:rPr>
      <w:b/>
      <w:bCs/>
    </w:rPr>
  </w:style>
  <w:style w:type="character" w:styleId="a8">
    <w:name w:val="Emphasis"/>
    <w:basedOn w:val="a0"/>
    <w:uiPriority w:val="20"/>
    <w:qFormat/>
    <w:rsid w:val="00604963"/>
    <w:rPr>
      <w:i/>
      <w:iCs/>
    </w:rPr>
  </w:style>
  <w:style w:type="paragraph" w:styleId="a9">
    <w:name w:val="No Spacing"/>
    <w:uiPriority w:val="1"/>
    <w:qFormat/>
    <w:rsid w:val="006049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049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96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0496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04963"/>
    <w:rPr>
      <w:b/>
      <w:bCs/>
      <w:i/>
      <w:iCs/>
      <w:color w:val="FF388C" w:themeColor="accent1"/>
    </w:rPr>
  </w:style>
  <w:style w:type="character" w:styleId="ad">
    <w:name w:val="Subtle Emphasis"/>
    <w:basedOn w:val="a0"/>
    <w:uiPriority w:val="19"/>
    <w:qFormat/>
    <w:rsid w:val="0060496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04963"/>
    <w:rPr>
      <w:b/>
      <w:bCs/>
      <w:i/>
      <w:iCs/>
      <w:color w:val="FF388C" w:themeColor="accent1"/>
    </w:rPr>
  </w:style>
  <w:style w:type="character" w:styleId="af">
    <w:name w:val="Subtle Reference"/>
    <w:basedOn w:val="a0"/>
    <w:uiPriority w:val="31"/>
    <w:qFormat/>
    <w:rsid w:val="00604963"/>
    <w:rPr>
      <w:smallCaps/>
      <w:color w:val="E40059" w:themeColor="accent2"/>
      <w:u w:val="single"/>
    </w:rPr>
  </w:style>
  <w:style w:type="character" w:styleId="af0">
    <w:name w:val="Intense Reference"/>
    <w:basedOn w:val="a0"/>
    <w:uiPriority w:val="32"/>
    <w:qFormat/>
    <w:rsid w:val="00604963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04963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9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4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49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049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049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049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049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049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6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496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4963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604963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604963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4963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49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49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49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0496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496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04963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04963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04963"/>
    <w:rPr>
      <w:b/>
      <w:bCs/>
    </w:rPr>
  </w:style>
  <w:style w:type="character" w:styleId="a8">
    <w:name w:val="Emphasis"/>
    <w:basedOn w:val="a0"/>
    <w:uiPriority w:val="20"/>
    <w:qFormat/>
    <w:rsid w:val="00604963"/>
    <w:rPr>
      <w:i/>
      <w:iCs/>
    </w:rPr>
  </w:style>
  <w:style w:type="paragraph" w:styleId="a9">
    <w:name w:val="No Spacing"/>
    <w:uiPriority w:val="1"/>
    <w:qFormat/>
    <w:rsid w:val="006049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049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9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963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04963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04963"/>
    <w:rPr>
      <w:b/>
      <w:bCs/>
      <w:i/>
      <w:iCs/>
      <w:color w:val="FF388C" w:themeColor="accent1"/>
    </w:rPr>
  </w:style>
  <w:style w:type="character" w:styleId="ad">
    <w:name w:val="Subtle Emphasis"/>
    <w:basedOn w:val="a0"/>
    <w:uiPriority w:val="19"/>
    <w:qFormat/>
    <w:rsid w:val="00604963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04963"/>
    <w:rPr>
      <w:b/>
      <w:bCs/>
      <w:i/>
      <w:iCs/>
      <w:color w:val="FF388C" w:themeColor="accent1"/>
    </w:rPr>
  </w:style>
  <w:style w:type="character" w:styleId="af">
    <w:name w:val="Subtle Reference"/>
    <w:basedOn w:val="a0"/>
    <w:uiPriority w:val="31"/>
    <w:qFormat/>
    <w:rsid w:val="00604963"/>
    <w:rPr>
      <w:smallCaps/>
      <w:color w:val="E40059" w:themeColor="accent2"/>
      <w:u w:val="single"/>
    </w:rPr>
  </w:style>
  <w:style w:type="character" w:styleId="af0">
    <w:name w:val="Intense Reference"/>
    <w:basedOn w:val="a0"/>
    <w:uiPriority w:val="32"/>
    <w:qFormat/>
    <w:rsid w:val="00604963"/>
    <w:rPr>
      <w:b/>
      <w:bCs/>
      <w:smallCaps/>
      <w:color w:val="E40059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04963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59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9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279F53E942C3FE12F349D33B24211DFFE5CE5F2EF66764081418AB085AD42801A9C75B48916165295BB0P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consultantplus://offline/ref=EAE2A02D56646348ABA64661BB4B1597056BD338A19B4AAC4592C186BF4E166B60E90B57A82716F8j3iAH" TargetMode="External"/><Relationship Id="rId12" Type="http://schemas.openxmlformats.org/officeDocument/2006/relationships/hyperlink" Target="consultantplus://offline/ref=CE0DB02085F042E6DDA63D9E8C157713218BA0D024AE247A2DFD4C75B4J66AN" TargetMode="External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B38582C89143BC9616A09BA45EE25B96C683940CD7214FC50C78462531F52DI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rosreestr-online.com/kadastrovaya-stoimo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Dohod-2</dc:creator>
  <cp:lastModifiedBy>1</cp:lastModifiedBy>
  <cp:revision>2</cp:revision>
  <dcterms:created xsi:type="dcterms:W3CDTF">2017-07-12T12:22:00Z</dcterms:created>
  <dcterms:modified xsi:type="dcterms:W3CDTF">2017-07-12T12:22:00Z</dcterms:modified>
</cp:coreProperties>
</file>